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 1</w:t>
      </w:r>
      <w:bookmarkStart w:id="0" w:name="undefined"/>
      <w:r>
        <w:rPr>
          <w:sz w:val="28"/>
          <w:szCs w:val="28"/>
        </w:rPr>
      </w:r>
      <w:bookmarkEnd w:id="0"/>
      <w:r>
        <w:rPr>
          <w:sz w:val="28"/>
          <w:szCs w:val="28"/>
        </w:rPr>
      </w:r>
      <w:r/>
    </w:p>
    <w:p>
      <w:pPr>
        <w:jc w:val="right"/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письму Минэкономразвития НСО</w:t>
      </w:r>
      <w:r>
        <w:rPr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 № ____________</w:t>
      </w:r>
      <w:r>
        <w:rPr>
          <w:sz w:val="28"/>
          <w:szCs w:val="28"/>
        </w:rPr>
      </w:r>
      <w:r/>
    </w:p>
    <w:p>
      <w:pPr>
        <w:contextualSpacing w:val="0"/>
        <w:jc w:val="right"/>
        <w:keepLines/>
        <w:spacing w:before="0" w:after="0" w:line="276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693"/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10630"/>
      </w:tblGrid>
      <w:tr>
        <w:trPr/>
        <w:tc>
          <w:tcPr>
            <w:tcW w:w="10630" w:type="dxa"/>
            <w:textDirection w:val="lrTb"/>
            <w:noWrap w:val="false"/>
          </w:tcPr>
          <w:p>
            <w:pPr>
              <w:ind w:left="0" w:right="1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 Муниципальный контроль в сфере благоустройства 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526"/>
        </w:trPr>
        <w:tc>
          <w:tcPr>
            <w:tcW w:w="10630" w:type="dxa"/>
            <w:textDirection w:val="lrTb"/>
            <w:noWrap w:val="false"/>
          </w:tcPr>
          <w:p>
            <w:pPr>
              <w:pStyle w:val="841"/>
              <w:numPr>
                <w:ilvl w:val="0"/>
                <w:numId w:val="1"/>
              </w:numPr>
              <w:ind w:left="0" w:right="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окращение на двадцать и более процентов объема зеленых насаждений на территории земельного участка общего пользования, выявляемое по результатам обследования земельного участка, от общего количества зеленых насаждений, включенных в реестр зеленых насажде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ний, на последнее число года, предшествующего году проведения обследования земельного участка, при отсутствии разрешений на снос соответствующих зеленых насаждений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841"/>
              <w:numPr>
                <w:ilvl w:val="0"/>
                <w:numId w:val="1"/>
              </w:numPr>
              <w:ind w:left="0" w:right="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ыявление по результатам выездного обследования наличия самовольно возведенных парковочных ограждений (блокираторы парковочного места, парковочных столбов и иных видов парковочных барьеров), покрышек и (или) иных признаков, свидетельствующих о размещении тр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анспортного средства на детских или спортивных площадках, на газонах или иных территориях, занятых зелеными насаждениями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526"/>
        </w:trPr>
        <w:tc>
          <w:tcPr>
            <w:tcW w:w="10630" w:type="dxa"/>
            <w:vMerge w:val="restart"/>
            <w:textDirection w:val="lrTb"/>
            <w:noWrap w:val="false"/>
          </w:tcPr>
          <w:p>
            <w:pPr>
              <w:ind w:left="0" w:right="1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1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Муниципальный контроль в области охраны и использования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особо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храняемых природных территорий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526"/>
        </w:trPr>
        <w:tc>
          <w:tcPr>
            <w:tcW w:w="10630" w:type="dxa"/>
            <w:vMerge w:val="restart"/>
            <w:textDirection w:val="lrTb"/>
            <w:noWrap w:val="false"/>
          </w:tcPr>
          <w:p>
            <w:pPr>
              <w:pStyle w:val="841"/>
              <w:numPr>
                <w:ilvl w:val="0"/>
                <w:numId w:val="2"/>
              </w:numPr>
              <w:ind w:left="0" w:right="1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становление факта включения в ЕГРЮЛ, ЕРИП сведений об осуществлении хозяйствующим субъектом, являющимся пользователем земельных участков, расположенных в охранной зоне особо охраняемой природной территории, кодов видов деятельности, осуществление которых в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охранной зоне не допускается в соответствии с положением об  ООПТ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1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841"/>
              <w:numPr>
                <w:ilvl w:val="0"/>
                <w:numId w:val="2"/>
              </w:numPr>
              <w:ind w:left="0" w:right="1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С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окращение в течение трех предшествующих лет более чем на 20% при наличии признаков неправомерных действий, повлекших сокращение численности вида редких и находящихся под угрозой исчезновения растений, грибов и (или) животных, занесенных в Красную книгу Рос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с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ийской Федерации и Красную книгу Новосибирской области, на земельных (лесных) участках, расположенных в границах особо охраняемой природной территории местного значения на основании имеющихся у учреждений, осуществляющих деятельность в области управления,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храны и использования ООПТ местного значения, сведений о численности редких и находящихся под угрозой исчезновения растений, грибов и (или) животных, занесенных в Красную книгу Российской Федерации и Красную книгу Новосибирской области в границах особо охр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аняемой природной территории местного значения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1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841"/>
              <w:numPr>
                <w:ilvl w:val="0"/>
                <w:numId w:val="2"/>
              </w:numPr>
              <w:ind w:left="0" w:right="1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ыявление по результатам выездного обследования наличия магнитометрической, радиометрической, электроразведочной, гравиметрической аппаратуры в границах особо охраняемой природной территории местного значения, если осуществление геологоразведочных изысканий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и разработка полезных ископаемых не допускается в соответствии с положением об  ООПТ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1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526"/>
        </w:trPr>
        <w:tc>
          <w:tcPr>
            <w:tcW w:w="10630" w:type="dxa"/>
            <w:vMerge w:val="restart"/>
            <w:textDirection w:val="lrTb"/>
            <w:noWrap w:val="false"/>
          </w:tcPr>
          <w:p>
            <w:pPr>
              <w:ind w:left="0" w:right="1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1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униципальн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жилищн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1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526"/>
        </w:trPr>
        <w:tc>
          <w:tcPr>
            <w:tcW w:w="10630" w:type="dxa"/>
            <w:vMerge w:val="restart"/>
            <w:textDirection w:val="lrTb"/>
            <w:noWrap w:val="false"/>
          </w:tcPr>
          <w:p>
            <w:pPr>
              <w:pStyle w:val="841"/>
              <w:numPr>
                <w:ilvl w:val="0"/>
                <w:numId w:val="3"/>
              </w:numPr>
              <w:ind w:left="0" w:right="1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П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оступление в орган муниципального жилищного надзора в течение трех месяцев подряд двух и более протоколов общего собрания собственников помещений в многоквартирном доме, в котором все жилые помещения входят в муниципальный жилищный фонд, содержащих решения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по аналогичным вопросам повестки дня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1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841"/>
              <w:numPr>
                <w:ilvl w:val="0"/>
                <w:numId w:val="3"/>
              </w:numPr>
              <w:ind w:left="0" w:right="1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тсутствие в государственной информационной системе жилищно-коммунального хозяйства по истечению 7 месяцев с даты размещения сведений о результатах последней проверки прибора учета, установленных вне жилых (нежилых) помещений в многоквартирном доме, в котор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 все жилые помещений входят в состав муниципального жилищного фонда, сведений об исправности или неисправности прибора учета, либо о снятии на поверку, за исключением приборов учета электрической энергии, которые присоединены к интеллектуальной системе уч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ета электрической энергии (мощности)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1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526"/>
        </w:trPr>
        <w:tc>
          <w:tcPr>
            <w:tcW w:w="10630" w:type="dxa"/>
            <w:vMerge w:val="restart"/>
            <w:textDirection w:val="lrTb"/>
            <w:noWrap w:val="false"/>
          </w:tcPr>
          <w:p>
            <w:pPr>
              <w:ind w:left="0" w:right="1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1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Муниципальный лесной контроль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1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526"/>
        </w:trPr>
        <w:tc>
          <w:tcPr>
            <w:tcW w:w="10630" w:type="dxa"/>
            <w:vMerge w:val="restart"/>
            <w:textDirection w:val="lrTb"/>
            <w:noWrap w:val="false"/>
          </w:tcPr>
          <w:p>
            <w:pPr>
              <w:pStyle w:val="841"/>
              <w:numPr>
                <w:ilvl w:val="0"/>
                <w:numId w:val="4"/>
              </w:numPr>
              <w:ind w:left="0" w:right="1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У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становление на лесном участке, предоставленном в аренду, постоянное бессрочное пользование, безвозмездное пользование (далее - использование), или на территории в границах лесничества, не предоставленной для использования, увеличения в два и более раза пло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щади лесных насаждений, погибших и (или) поврежденных вследствие воздействия вредных организмов за календарный год, по сравнению со среднегодовой величиной за предшествующий пятилетний период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1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841"/>
              <w:numPr>
                <w:ilvl w:val="0"/>
                <w:numId w:val="4"/>
              </w:numPr>
              <w:ind w:left="0" w:right="1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Д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оля крупных лесных пожаров (площадью 25 гектаров и более в зоне наземной охраны лесов и 200 гектаров и более в зоне авиационной охраны лесов) в общем количестве лесных пожаров, возникших на лесном участке, предоставленном для использования, или на территор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ии в границах лесничества, не предоставленной для использования, составила более 20 процентов по итогам календарного года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1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41"/>
              <w:numPr>
                <w:ilvl w:val="0"/>
                <w:numId w:val="4"/>
              </w:numPr>
              <w:ind w:left="0" w:right="1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У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становление на лесном участке, предоставленном для использования, или на территории в границах лесничества, не предоставленной для использования, увеличения площади лесов, подлежащих лесовосстановлению (вырубки, гари, редины, пустыри, прогалины), более чем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на 30 процентов за календарный год по сравнению со среднегодовой величиной за предшествующий пятилетний период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1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41"/>
              <w:numPr>
                <w:ilvl w:val="0"/>
                <w:numId w:val="4"/>
              </w:numPr>
              <w:ind w:left="0" w:right="1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У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становление на лесном участке, предоставленном для использования, или на территории в границах лесничества, не предоставленной для использования, гибели искусственных лесных насаждений, созданных в рамках работ по лесоразведению, более 30 процентов от их п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лощади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1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526"/>
        </w:trPr>
        <w:tc>
          <w:tcPr>
            <w:tcW w:w="10630" w:type="dxa"/>
            <w:vMerge w:val="restart"/>
            <w:textDirection w:val="lrTb"/>
            <w:noWrap w:val="false"/>
          </w:tcPr>
          <w:p>
            <w:pPr>
              <w:ind w:left="0" w:right="1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  <w:p>
            <w:pPr>
              <w:ind w:left="0" w:right="1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5. Муниципальный контроль на автомобильном транспорте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  <w:p>
            <w:pPr>
              <w:ind w:left="0" w:right="1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городском наземном электрическом транспорте и в дорожном хозяйстве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  <w:p>
            <w:pPr>
              <w:ind w:left="0" w:right="1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3497"/>
        </w:trPr>
        <w:tc>
          <w:tcPr>
            <w:tcW w:w="10630" w:type="dxa"/>
            <w:vMerge w:val="restart"/>
            <w:textDirection w:val="lrTb"/>
            <w:noWrap w:val="false"/>
          </w:tcPr>
          <w:p>
            <w:pPr>
              <w:pStyle w:val="841"/>
              <w:numPr>
                <w:ilvl w:val="0"/>
                <w:numId w:val="5"/>
              </w:numPr>
              <w:ind w:left="0" w:right="1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П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оступление в орган местного самоуправления от заказчика работ по строительству, реконструкции, капитальному ремонту автомобильной дороги местного значения информации о наличии в период проведения указанных работ пяти и более замечаний одного вида или пятна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дцати и более замечаний независимо от их вида к подрядчику, осуществляющему выполнение работ на объекте, зафиксированных в журнале производства работ заказчиком и (или) иным лицом, осуществляющим строительный контроль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ind w:left="0" w:right="1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pStyle w:val="841"/>
              <w:numPr>
                <w:ilvl w:val="0"/>
                <w:numId w:val="5"/>
              </w:numPr>
              <w:ind w:left="0" w:right="1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ыявление органом местного самоуправления полученных на основании архива отчетов оператора Региональной навигационно-информационной системы Новосибирской области сведений о невыполнении контролируемым лицом, которому выданы свидетельства об осуществлении ре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гулярных перевозок пассажиров и багажа по муниципальному маршруту по нерегулируемым тарифам, более 3% рейсов в течение одного квартала от общего количества рейсов, предусмотренных для выполнения в течение данного квартала установленным расписанием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</w:tr>
    </w:tbl>
    <w:p>
      <w:pPr>
        <w:ind w:left="0" w:right="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62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7"/>
      <w:keepLines w:val="0"/>
    </w:pPr>
    <w:r>
      <w:rPr>
        <w:highlight w:val="none"/>
      </w:rPr>
    </w:r>
    <w:r>
      <w:rPr>
        <w:highlight w:val="none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1">
    <w:name w:val="Heading 1"/>
    <w:basedOn w:val="837"/>
    <w:next w:val="837"/>
    <w:link w:val="66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2">
    <w:name w:val="Heading 1 Char"/>
    <w:link w:val="661"/>
    <w:uiPriority w:val="9"/>
    <w:rPr>
      <w:rFonts w:ascii="Arial" w:hAnsi="Arial" w:eastAsia="Arial" w:cs="Arial"/>
      <w:sz w:val="40"/>
      <w:szCs w:val="40"/>
    </w:rPr>
  </w:style>
  <w:style w:type="paragraph" w:styleId="663">
    <w:name w:val="Heading 2"/>
    <w:basedOn w:val="837"/>
    <w:next w:val="837"/>
    <w:link w:val="66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4">
    <w:name w:val="Heading 2 Char"/>
    <w:link w:val="663"/>
    <w:uiPriority w:val="9"/>
    <w:rPr>
      <w:rFonts w:ascii="Arial" w:hAnsi="Arial" w:eastAsia="Arial" w:cs="Arial"/>
      <w:sz w:val="34"/>
    </w:rPr>
  </w:style>
  <w:style w:type="paragraph" w:styleId="665">
    <w:name w:val="Heading 3"/>
    <w:basedOn w:val="837"/>
    <w:next w:val="837"/>
    <w:link w:val="6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6">
    <w:name w:val="Heading 3 Char"/>
    <w:link w:val="665"/>
    <w:uiPriority w:val="9"/>
    <w:rPr>
      <w:rFonts w:ascii="Arial" w:hAnsi="Arial" w:eastAsia="Arial" w:cs="Arial"/>
      <w:sz w:val="30"/>
      <w:szCs w:val="30"/>
    </w:rPr>
  </w:style>
  <w:style w:type="paragraph" w:styleId="667">
    <w:name w:val="Heading 4"/>
    <w:basedOn w:val="837"/>
    <w:next w:val="837"/>
    <w:link w:val="66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8">
    <w:name w:val="Heading 4 Char"/>
    <w:link w:val="667"/>
    <w:uiPriority w:val="9"/>
    <w:rPr>
      <w:rFonts w:ascii="Arial" w:hAnsi="Arial" w:eastAsia="Arial" w:cs="Arial"/>
      <w:b/>
      <w:bCs/>
      <w:sz w:val="26"/>
      <w:szCs w:val="26"/>
    </w:rPr>
  </w:style>
  <w:style w:type="paragraph" w:styleId="669">
    <w:name w:val="Heading 5"/>
    <w:basedOn w:val="837"/>
    <w:next w:val="837"/>
    <w:link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0">
    <w:name w:val="Heading 5 Char"/>
    <w:link w:val="669"/>
    <w:uiPriority w:val="9"/>
    <w:rPr>
      <w:rFonts w:ascii="Arial" w:hAnsi="Arial" w:eastAsia="Arial" w:cs="Arial"/>
      <w:b/>
      <w:bCs/>
      <w:sz w:val="24"/>
      <w:szCs w:val="24"/>
    </w:rPr>
  </w:style>
  <w:style w:type="paragraph" w:styleId="671">
    <w:name w:val="Heading 6"/>
    <w:basedOn w:val="837"/>
    <w:next w:val="837"/>
    <w:link w:val="67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2">
    <w:name w:val="Heading 6 Char"/>
    <w:link w:val="671"/>
    <w:uiPriority w:val="9"/>
    <w:rPr>
      <w:rFonts w:ascii="Arial" w:hAnsi="Arial" w:eastAsia="Arial" w:cs="Arial"/>
      <w:b/>
      <w:bCs/>
      <w:sz w:val="22"/>
      <w:szCs w:val="22"/>
    </w:rPr>
  </w:style>
  <w:style w:type="paragraph" w:styleId="673">
    <w:name w:val="Heading 7"/>
    <w:basedOn w:val="837"/>
    <w:next w:val="837"/>
    <w:link w:val="6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4">
    <w:name w:val="Heading 7 Char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5">
    <w:name w:val="Heading 8"/>
    <w:basedOn w:val="837"/>
    <w:next w:val="837"/>
    <w:link w:val="67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6">
    <w:name w:val="Heading 8 Char"/>
    <w:link w:val="675"/>
    <w:uiPriority w:val="9"/>
    <w:rPr>
      <w:rFonts w:ascii="Arial" w:hAnsi="Arial" w:eastAsia="Arial" w:cs="Arial"/>
      <w:i/>
      <w:iCs/>
      <w:sz w:val="22"/>
      <w:szCs w:val="22"/>
    </w:rPr>
  </w:style>
  <w:style w:type="paragraph" w:styleId="677">
    <w:name w:val="Heading 9"/>
    <w:basedOn w:val="837"/>
    <w:next w:val="837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8">
    <w:name w:val="Heading 9 Char"/>
    <w:link w:val="677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Title"/>
    <w:basedOn w:val="837"/>
    <w:next w:val="837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link w:val="679"/>
    <w:uiPriority w:val="10"/>
    <w:rPr>
      <w:sz w:val="48"/>
      <w:szCs w:val="48"/>
    </w:rPr>
  </w:style>
  <w:style w:type="paragraph" w:styleId="681">
    <w:name w:val="Subtitle"/>
    <w:basedOn w:val="837"/>
    <w:next w:val="837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link w:val="681"/>
    <w:uiPriority w:val="11"/>
    <w:rPr>
      <w:sz w:val="24"/>
      <w:szCs w:val="24"/>
    </w:rPr>
  </w:style>
  <w:style w:type="paragraph" w:styleId="683">
    <w:name w:val="Quote"/>
    <w:basedOn w:val="837"/>
    <w:next w:val="837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7"/>
    <w:next w:val="837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7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link w:val="687"/>
    <w:uiPriority w:val="99"/>
  </w:style>
  <w:style w:type="paragraph" w:styleId="689">
    <w:name w:val="Footer"/>
    <w:basedOn w:val="837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link w:val="689"/>
    <w:uiPriority w:val="99"/>
  </w:style>
  <w:style w:type="paragraph" w:styleId="691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689"/>
    <w:uiPriority w:val="99"/>
  </w:style>
  <w:style w:type="table" w:styleId="693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3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4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5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6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7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8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7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8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9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0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1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2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qFormat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paragraph" w:styleId="840">
    <w:name w:val="No Spacing"/>
    <w:basedOn w:val="837"/>
    <w:uiPriority w:val="1"/>
    <w:qFormat/>
    <w:pPr>
      <w:spacing w:after="0" w:line="240" w:lineRule="auto"/>
    </w:pPr>
  </w:style>
  <w:style w:type="paragraph" w:styleId="841">
    <w:name w:val="List Paragraph"/>
    <w:basedOn w:val="837"/>
    <w:uiPriority w:val="34"/>
    <w:qFormat/>
    <w:pPr>
      <w:contextualSpacing/>
      <w:ind w:left="720"/>
    </w:pPr>
  </w:style>
  <w:style w:type="character" w:styleId="842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2023-09-18T04:42:37Z</dcterms:modified>
</cp:coreProperties>
</file>